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numbering.xml" ContentType="application/vnd.openxmlformats-officedocument.wordprocessingml.numbering+xml"/>
  <Override PartName="/word/styles.xml" ContentType="application/vnd.openxmlformats-officedocument.wordprocessingml.styles+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ind w:left="4248" w:firstLine="708"/>
        <w:jc w:val="both"/>
        <w:rPr>
          <w:rFonts w:ascii="Tinos" w:hAnsi="Tinos"/>
          <w:sz w:val="28"/>
          <w:szCs w:val="28"/>
        </w:rPr>
      </w:pPr>
      <w:r>
        <w:rPr>
          <w:rFonts w:cs="Liberation Sans" w:ascii="Tinos" w:hAnsi="Tinos" w:cstheme="majorBidi"/>
          <w:iCs/>
          <w:sz w:val="28"/>
          <w:szCs w:val="28"/>
        </w:rPr>
        <w:t>Вносится Депутатами</w:t>
      </w:r>
    </w:p>
    <w:p>
      <w:pPr>
        <w:pStyle w:val="Normal"/>
        <w:spacing w:lineRule="auto" w:line="276"/>
        <w:ind w:left="4248" w:firstLine="708"/>
        <w:jc w:val="both"/>
        <w:rPr>
          <w:rFonts w:ascii="Tinos" w:hAnsi="Tinos"/>
          <w:sz w:val="28"/>
          <w:szCs w:val="28"/>
        </w:rPr>
      </w:pPr>
      <w:r>
        <w:rPr>
          <w:rFonts w:cs="Liberation Sans" w:ascii="Tinos" w:hAnsi="Tinos" w:cstheme="majorBidi"/>
          <w:iCs/>
          <w:sz w:val="28"/>
          <w:szCs w:val="28"/>
        </w:rPr>
        <w:t>Государственной Думы</w:t>
      </w:r>
    </w:p>
    <w:p>
      <w:pPr>
        <w:pStyle w:val="Normal"/>
        <w:spacing w:lineRule="auto" w:line="276"/>
        <w:ind w:left="4248" w:firstLine="708"/>
        <w:jc w:val="both"/>
        <w:rPr>
          <w:rFonts w:ascii="Tinos" w:hAnsi="Tinos"/>
          <w:sz w:val="28"/>
          <w:szCs w:val="28"/>
        </w:rPr>
      </w:pPr>
      <w:r>
        <w:rPr>
          <w:rFonts w:cs="Liberation Sans" w:ascii="Tinos" w:hAnsi="Tinos" w:cstheme="majorBidi"/>
          <w:iCs/>
          <w:sz w:val="28"/>
          <w:szCs w:val="28"/>
        </w:rPr>
        <w:t>Российской Федерации</w:t>
      </w:r>
    </w:p>
    <w:p>
      <w:pPr>
        <w:pStyle w:val="Normal"/>
        <w:spacing w:lineRule="auto" w:line="276"/>
        <w:ind w:left="4248" w:firstLine="708"/>
        <w:jc w:val="both"/>
        <w:rPr>
          <w:rFonts w:ascii="Tinos" w:hAnsi="Tinos"/>
          <w:sz w:val="28"/>
          <w:szCs w:val="28"/>
        </w:rPr>
      </w:pPr>
      <w:r>
        <w:rPr>
          <w:rFonts w:cs="Liberation Sans" w:ascii="Tinos" w:hAnsi="Tinos" w:cstheme="majorBidi"/>
          <w:iCs/>
          <w:sz w:val="28"/>
          <w:szCs w:val="28"/>
        </w:rPr>
        <w:t>А.В. Якубовским, Н.В. Костенко</w:t>
      </w:r>
    </w:p>
    <w:p>
      <w:pPr>
        <w:pStyle w:val="Normal"/>
        <w:spacing w:lineRule="auto" w:line="276"/>
        <w:jc w:val="both"/>
        <w:rPr>
          <w:rFonts w:ascii="Tinos" w:hAnsi="Tinos" w:cs="Liberation Sans" w:cstheme="majorBidi"/>
          <w:iCs/>
          <w:sz w:val="28"/>
          <w:szCs w:val="28"/>
        </w:rPr>
      </w:pPr>
      <w:r>
        <w:rPr>
          <w:rFonts w:cs="Liberation Sans" w:cstheme="majorBidi" w:ascii="Tinos" w:hAnsi="Tinos"/>
          <w:iCs/>
          <w:sz w:val="28"/>
          <w:szCs w:val="28"/>
        </w:rPr>
      </w:r>
    </w:p>
    <w:p>
      <w:pPr>
        <w:pStyle w:val="Normal"/>
        <w:spacing w:lineRule="auto" w:line="276"/>
        <w:ind w:left="4248" w:firstLine="708"/>
        <w:jc w:val="both"/>
        <w:rPr>
          <w:rFonts w:ascii="Tinos" w:hAnsi="Tinos"/>
          <w:sz w:val="28"/>
          <w:szCs w:val="28"/>
        </w:rPr>
      </w:pPr>
      <w:r>
        <w:rPr>
          <w:rFonts w:cs="Liberation Sans" w:ascii="Tinos" w:hAnsi="Tinos" w:cstheme="majorBidi"/>
          <w:iCs/>
          <w:sz w:val="28"/>
          <w:szCs w:val="28"/>
        </w:rPr>
        <w:t>Проект</w:t>
      </w:r>
    </w:p>
    <w:p>
      <w:pPr>
        <w:pStyle w:val="Normal"/>
        <w:spacing w:lineRule="auto" w:line="276"/>
        <w:ind w:left="4248" w:firstLine="708"/>
        <w:jc w:val="both"/>
        <w:rPr>
          <w:rFonts w:ascii="Tinos" w:hAnsi="Tinos" w:cs="Liberation Sans" w:cstheme="majorBidi"/>
          <w:iCs/>
          <w:sz w:val="28"/>
          <w:szCs w:val="28"/>
        </w:rPr>
      </w:pPr>
      <w:r>
        <w:rPr>
          <w:rFonts w:cs="Liberation Sans" w:cstheme="majorBidi" w:ascii="Tinos" w:hAnsi="Tinos"/>
          <w:iCs/>
          <w:sz w:val="28"/>
          <w:szCs w:val="28"/>
        </w:rPr>
      </w:r>
    </w:p>
    <w:p>
      <w:pPr>
        <w:pStyle w:val="Normal"/>
        <w:spacing w:lineRule="auto" w:line="276"/>
        <w:jc w:val="center"/>
        <w:rPr>
          <w:rFonts w:ascii="Tinos" w:hAnsi="Tinos"/>
          <w:sz w:val="28"/>
          <w:szCs w:val="28"/>
        </w:rPr>
      </w:pPr>
      <w:r>
        <w:rPr>
          <w:rFonts w:cs="Liberation Sans" w:ascii="Tinos" w:hAnsi="Tinos" w:cstheme="majorBidi"/>
          <w:b/>
          <w:bCs/>
          <w:iCs/>
          <w:sz w:val="28"/>
          <w:szCs w:val="28"/>
        </w:rPr>
        <w:t>ФЕДЕРАЛЬНЫЙ ЗАКОН</w:t>
      </w:r>
    </w:p>
    <w:p>
      <w:pPr>
        <w:pStyle w:val="Normal"/>
        <w:spacing w:lineRule="auto" w:line="276"/>
        <w:jc w:val="center"/>
        <w:rPr>
          <w:rFonts w:ascii="Tinos" w:hAnsi="Tinos"/>
          <w:sz w:val="28"/>
          <w:szCs w:val="28"/>
        </w:rPr>
      </w:pPr>
      <w:r>
        <w:rPr>
          <w:rFonts w:cs="Liberation Sans" w:ascii="Tinos" w:hAnsi="Tinos" w:cstheme="majorBidi"/>
          <w:b/>
          <w:bCs/>
          <w:iCs/>
          <w:sz w:val="28"/>
          <w:szCs w:val="28"/>
        </w:rPr>
        <w:t>О внесении изменений в законодательство Российской Федерации</w:t>
      </w:r>
    </w:p>
    <w:p>
      <w:pPr>
        <w:pStyle w:val="Normal"/>
        <w:spacing w:lineRule="auto" w:line="276"/>
        <w:jc w:val="center"/>
        <w:rPr>
          <w:rFonts w:ascii="Tinos" w:hAnsi="Tinos"/>
          <w:sz w:val="28"/>
          <w:szCs w:val="28"/>
        </w:rPr>
      </w:pPr>
      <w:r>
        <w:rPr>
          <w:rFonts w:cs="Liberation Sans" w:ascii="Tinos" w:hAnsi="Tinos" w:cstheme="majorBidi"/>
          <w:b/>
          <w:bCs/>
          <w:iCs/>
          <w:sz w:val="28"/>
          <w:szCs w:val="28"/>
        </w:rPr>
        <w:t>По нормативно-правовому регулированию градостроительной и туристической деятельности на исторических территориях</w:t>
      </w:r>
    </w:p>
    <w:p>
      <w:pPr>
        <w:pStyle w:val="Normal"/>
        <w:spacing w:lineRule="auto" w:line="276"/>
        <w:ind w:firstLine="708"/>
        <w:jc w:val="center"/>
        <w:rPr>
          <w:rFonts w:ascii="Tinos" w:hAnsi="Tinos" w:cs="Liberation Sans" w:cstheme="majorBidi"/>
          <w:b/>
          <w:b/>
          <w:bCs/>
          <w:iCs/>
          <w:sz w:val="28"/>
          <w:szCs w:val="28"/>
        </w:rPr>
      </w:pPr>
      <w:r>
        <w:rPr>
          <w:rFonts w:cs="Liberation Sans" w:cstheme="majorBidi" w:ascii="Tinos" w:hAnsi="Tinos"/>
          <w:b/>
          <w:bCs/>
          <w:iCs/>
          <w:sz w:val="28"/>
          <w:szCs w:val="28"/>
        </w:rPr>
      </w:r>
    </w:p>
    <w:p>
      <w:pPr>
        <w:pStyle w:val="Normal"/>
        <w:ind w:firstLine="708"/>
        <w:jc w:val="both"/>
        <w:rPr>
          <w:rFonts w:ascii="Tinos" w:hAnsi="Tinos"/>
          <w:sz w:val="28"/>
          <w:szCs w:val="28"/>
        </w:rPr>
      </w:pPr>
      <w:r>
        <w:rPr>
          <w:rFonts w:cs="Liberation Sans" w:ascii="Tinos" w:hAnsi="Tinos" w:cstheme="majorBidi"/>
          <w:b/>
          <w:bCs/>
          <w:color w:val="000000"/>
          <w:sz w:val="28"/>
          <w:szCs w:val="28"/>
        </w:rPr>
        <w:t>Статья 1</w:t>
      </w:r>
    </w:p>
    <w:p>
      <w:pPr>
        <w:pStyle w:val="NormalWeb"/>
        <w:spacing w:before="280" w:after="280"/>
        <w:ind w:firstLine="708"/>
        <w:jc w:val="both"/>
        <w:rPr>
          <w:rFonts w:ascii="Tinos" w:hAnsi="Tinos"/>
          <w:sz w:val="28"/>
          <w:szCs w:val="28"/>
        </w:rPr>
      </w:pPr>
      <w:r>
        <w:rPr>
          <w:rFonts w:cs="Liberation Sans" w:ascii="Tinos" w:hAnsi="Tinos" w:cstheme="majorBidi"/>
          <w:color w:val="000000"/>
          <w:sz w:val="28"/>
          <w:szCs w:val="28"/>
        </w:rPr>
        <w:t xml:space="preserve">Внести в Федеральный закон от 25 июня 2002 года № 73-ФЗ «Об объектах культурного наследия (памятниках истории и культуры) </w:t>
      </w:r>
      <w:r>
        <w:rPr>
          <w:rFonts w:cs="Liberation Sans" w:ascii="Tinos" w:hAnsi="Tinos" w:cstheme="majorBidi"/>
          <w:sz w:val="28"/>
          <w:szCs w:val="28"/>
        </w:rPr>
        <w:t>народов Российской Федерации» (Собрание законодательства Российской Федерации, 2002, No 26, ст. 2519; 2004, No 35, ст. 3607; 2006, No 52, ст. 5498; 2014, No 43, ст. 5799; 2016, No 15, ст. 2057; No 27, ст. 4294; 2018, No 32, ст. 5135; 2023, No 31, ст. 5791; No 32, ст. 6204) следующие изменения:</w:t>
      </w:r>
    </w:p>
    <w:p>
      <w:pPr>
        <w:pStyle w:val="Normal"/>
        <w:ind w:firstLine="708"/>
        <w:jc w:val="both"/>
        <w:rPr>
          <w:rFonts w:ascii="Tinos" w:hAnsi="Tinos"/>
          <w:sz w:val="28"/>
          <w:szCs w:val="28"/>
        </w:rPr>
      </w:pPr>
      <w:r>
        <w:rPr>
          <w:rFonts w:cs="Liberation Sans" w:ascii="Tinos" w:hAnsi="Tinos" w:cstheme="majorBidi"/>
          <w:sz w:val="28"/>
          <w:szCs w:val="28"/>
        </w:rPr>
        <w:t>1) Дополнить Федеральный закон от 25 июня 2002 года № 73-ФЗ «Об объектах культурного наследия (памятниках истории и культуры) народов Российской Федерации» статьей 5.2. и изложить в следующей редакции:</w:t>
      </w:r>
    </w:p>
    <w:p>
      <w:pPr>
        <w:pStyle w:val="Normal"/>
        <w:ind w:firstLine="708"/>
        <w:jc w:val="both"/>
        <w:rPr>
          <w:rFonts w:ascii="Tinos" w:hAnsi="Tinos"/>
          <w:sz w:val="28"/>
          <w:szCs w:val="28"/>
        </w:rPr>
      </w:pPr>
      <w:r>
        <w:rPr>
          <w:rFonts w:cs="Liberation Sans" w:ascii="Tinos" w:hAnsi="Tinos" w:cstheme="majorBidi"/>
          <w:sz w:val="28"/>
          <w:szCs w:val="28"/>
        </w:rPr>
        <w:t xml:space="preserve">5.2. Историческая территория - </w:t>
      </w:r>
      <w:r>
        <w:rPr>
          <w:rFonts w:cs="Times New Roman" w:ascii="Tinos" w:hAnsi="Tinos"/>
          <w:sz w:val="28"/>
          <w:szCs w:val="28"/>
        </w:rPr>
        <w:t>территории, в пределах которых полностью или частично сохранились исторически сложившиеся или типичные для определенного исторического периода элементы планировочной структуры, природного, природно-антропогенного, городского ландшафта, масштаб, структура и форма застройки, комплекс исторических зданий, элементы и характер благоустройства территории, иные характеристики городской среды и особенности облика города, представляющие собой историческую, градостроительную, архитектурную и художественную ценность и обладающая культурной и социальной значимостью. В границы исторической территории может включаться объекты культурного наследия, выявленные объекты культурного наследия, ценные градоформирующие объекты, ансамбли, историческое поселение или достопримечательное место.</w:t>
      </w:r>
    </w:p>
    <w:p>
      <w:pPr>
        <w:pStyle w:val="Normal"/>
        <w:ind w:firstLine="708"/>
        <w:jc w:val="both"/>
        <w:rPr>
          <w:rFonts w:ascii="Tinos" w:hAnsi="Tinos" w:cs="Times New Roman"/>
          <w:color w:val="8EAADB" w:themeColor="accent1" w:themeTint="99"/>
          <w:sz w:val="28"/>
          <w:szCs w:val="28"/>
        </w:rPr>
      </w:pPr>
      <w:r>
        <w:rPr>
          <w:rFonts w:cs="Times New Roman" w:ascii="Tinos" w:hAnsi="Tinos"/>
          <w:color w:val="8EAADB" w:themeColor="accent1" w:themeTint="99"/>
          <w:sz w:val="28"/>
          <w:szCs w:val="28"/>
        </w:rPr>
      </w:r>
    </w:p>
    <w:p>
      <w:pPr>
        <w:pStyle w:val="ListParagraph"/>
        <w:widowControl w:val="false"/>
        <w:numPr>
          <w:ilvl w:val="0"/>
          <w:numId w:val="2"/>
        </w:numPr>
        <w:ind w:left="0" w:firstLine="708"/>
        <w:jc w:val="both"/>
        <w:rPr>
          <w:rFonts w:ascii="Tinos" w:hAnsi="Tinos"/>
          <w:sz w:val="28"/>
          <w:szCs w:val="28"/>
        </w:rPr>
      </w:pPr>
      <w:r>
        <w:rPr>
          <w:rFonts w:cs="Liberation Sans" w:ascii="Tinos" w:hAnsi="Tinos" w:cstheme="majorBidi"/>
          <w:sz w:val="28"/>
          <w:szCs w:val="28"/>
        </w:rPr>
        <w:t>Дополнить Федеральный закон от 25 июня 2002 года № 73-ФЗ «Об объектах культурного наследия (памятниках истории и культуры) народов Российской Федерации» статьей 60.1. и изложить в следующей редакции:</w:t>
      </w:r>
    </w:p>
    <w:p>
      <w:pPr>
        <w:pStyle w:val="ConsPlusNormal"/>
        <w:ind w:firstLine="708"/>
        <w:jc w:val="both"/>
        <w:rPr>
          <w:rFonts w:ascii="Tinos" w:hAnsi="Tinos"/>
          <w:sz w:val="28"/>
          <w:szCs w:val="28"/>
        </w:rPr>
      </w:pPr>
      <w:r>
        <w:rPr>
          <w:rFonts w:cs="Liberation Sans" w:ascii="Tinos" w:hAnsi="Tinos" w:cstheme="majorBidi"/>
          <w:bCs/>
          <w:sz w:val="28"/>
          <w:szCs w:val="28"/>
        </w:rPr>
        <w:t xml:space="preserve">1. </w:t>
      </w:r>
      <w:r>
        <w:rPr>
          <w:rFonts w:cs="Liberation Sans" w:ascii="Tinos" w:hAnsi="Tinos" w:cstheme="majorBidi"/>
          <w:color w:val="000000"/>
          <w:sz w:val="28"/>
          <w:szCs w:val="28"/>
        </w:rPr>
        <w:t>Мероприятия устойчивого развития исторического поселения – это комплекс взаимоувязанных экономических, институциональных, инфраструктурных, экологических и других мер, направленных на сохранение потенциала исторического поселения и комплексное, сбалансированное  развитие на его территории предпринимательской деятельности, туризма, культуры, образования, а также модернизации инженерной, транспортной, социальной и других видов инфраструктур с сохранением и регенерацией историко-градостроительной и природной среды и вовлечением объектов культурного наследия в повышение историко-культурной и инвестиционной привлекательности исторического поселения</w:t>
      </w:r>
      <w:r>
        <w:rPr>
          <w:rFonts w:cs="Liberation Sans" w:ascii="Tinos" w:hAnsi="Tinos" w:cstheme="majorBidi"/>
          <w:bCs/>
          <w:color w:val="000000"/>
          <w:sz w:val="28"/>
          <w:szCs w:val="28"/>
        </w:rPr>
        <w:t xml:space="preserve"> и </w:t>
      </w:r>
      <w:r>
        <w:rPr>
          <w:rFonts w:cs="Liberation Sans" w:ascii="Tinos" w:hAnsi="Tinos" w:cstheme="majorBidi"/>
          <w:bCs/>
          <w:sz w:val="28"/>
          <w:szCs w:val="28"/>
        </w:rPr>
        <w:t>эффективным освоением капитальных вложений со стабилизацией или улучшением результата в заданный период времени</w:t>
      </w:r>
      <w:r>
        <w:rPr>
          <w:rFonts w:cs="Liberation Sans" w:ascii="Tinos" w:hAnsi="Tinos" w:cstheme="majorBidi"/>
          <w:b/>
          <w:sz w:val="28"/>
          <w:szCs w:val="28"/>
        </w:rPr>
        <w:t>.</w:t>
      </w:r>
    </w:p>
    <w:p>
      <w:pPr>
        <w:pStyle w:val="Normal"/>
        <w:widowControl w:val="false"/>
        <w:ind w:firstLine="708"/>
        <w:jc w:val="both"/>
        <w:rPr>
          <w:rFonts w:ascii="Tinos" w:hAnsi="Tinos"/>
          <w:sz w:val="28"/>
          <w:szCs w:val="28"/>
        </w:rPr>
      </w:pPr>
      <w:r>
        <w:rPr>
          <w:rFonts w:cs="Liberation Sans" w:ascii="Tinos" w:hAnsi="Tinos" w:cstheme="majorBidi"/>
          <w:bCs/>
          <w:sz w:val="28"/>
          <w:szCs w:val="28"/>
        </w:rPr>
        <w:t>2. Мероприятия устойчивого развития территории исторического поселения отображаются в Проекте устойчивого развития исторического поселения, который разрабатывается и утверждается с учетом разрабатываемого/утвержденного историко-культурного опорного плана исторического поселения. Проект устойчивого развития исторического поселения должен быть разработан и утвержден не позднее одного года после утверждения историко-культурного опорного плана исторического поселения в порядке, предусмотренном настоящим Федеральным законом.</w:t>
      </w:r>
    </w:p>
    <w:p>
      <w:pPr>
        <w:pStyle w:val="Normal"/>
        <w:ind w:firstLine="708"/>
        <w:jc w:val="both"/>
        <w:rPr>
          <w:rFonts w:ascii="Tinos" w:hAnsi="Tinos"/>
          <w:sz w:val="28"/>
          <w:szCs w:val="28"/>
        </w:rPr>
      </w:pPr>
      <w:r>
        <w:rPr>
          <w:rFonts w:cs="Liberation Sans" w:ascii="Tinos" w:hAnsi="Tinos" w:cstheme="majorBidi"/>
          <w:bCs/>
          <w:color w:val="020C22"/>
          <w:sz w:val="28"/>
          <w:szCs w:val="28"/>
        </w:rPr>
        <w:t xml:space="preserve">3. Предметом согласования проекта устойчивого развития исторического поселения, подготовленного применительно к территориям исторических поселений федерального значения и территориям исторических поселений регионального значения, является </w:t>
      </w:r>
      <w:r>
        <w:rPr>
          <w:rFonts w:cs="Liberation Sans" w:ascii="Tinos" w:hAnsi="Tinos" w:cstheme="majorBidi"/>
          <w:bCs/>
          <w:color w:val="000000"/>
          <w:sz w:val="28"/>
          <w:szCs w:val="28"/>
        </w:rPr>
        <w:t xml:space="preserve">совокупность мероприятий </w:t>
      </w:r>
      <w:r>
        <w:rPr>
          <w:rFonts w:cs="Liberation Sans" w:ascii="Tinos" w:hAnsi="Tinos" w:cstheme="majorBidi"/>
          <w:bCs/>
          <w:sz w:val="28"/>
          <w:szCs w:val="28"/>
        </w:rPr>
        <w:t>устойчивого развития исторического поселения</w:t>
      </w:r>
      <w:r>
        <w:rPr>
          <w:rFonts w:cs="Liberation Sans" w:ascii="Tinos" w:hAnsi="Tinos" w:cstheme="majorBidi"/>
          <w:bCs/>
          <w:color w:val="000000"/>
          <w:sz w:val="28"/>
          <w:szCs w:val="28"/>
        </w:rPr>
        <w:t>, направленных на создание благоприятных условий проживания граждан, обновление среды жизнедеятельности и территорий общего пользования исторического поселения, правовых, организационных, финансовых, материально-технических, информационных и иных мер, направленных на сохранение объектов культурного наследия и предотвращение их разрушения,</w:t>
      </w:r>
      <w:r>
        <w:rPr>
          <w:rFonts w:cs="Liberation Sans" w:ascii="Tinos" w:hAnsi="Tinos" w:cstheme="majorBidi"/>
          <w:bCs/>
          <w:color w:val="020C22"/>
          <w:sz w:val="28"/>
          <w:szCs w:val="28"/>
        </w:rPr>
        <w:t xml:space="preserve"> мероприятия устойчивого развития исторического поселения с учетом утвержденного предмета охраны исторического поселения.</w:t>
      </w:r>
    </w:p>
    <w:p>
      <w:pPr>
        <w:pStyle w:val="Normal"/>
        <w:ind w:firstLine="708"/>
        <w:jc w:val="both"/>
        <w:rPr>
          <w:rFonts w:ascii="Tinos" w:hAnsi="Tinos"/>
          <w:sz w:val="28"/>
          <w:szCs w:val="28"/>
        </w:rPr>
      </w:pPr>
      <w:r>
        <w:rPr>
          <w:rFonts w:cs="Liberation Sans" w:ascii="Tinos" w:hAnsi="Tinos" w:cstheme="majorBidi"/>
          <w:color w:val="020C22"/>
          <w:sz w:val="28"/>
          <w:szCs w:val="28"/>
        </w:rPr>
        <w:t>4. В целях регулирования хозяйственной и развития инвестиционной деятельности</w:t>
      </w:r>
      <w:r>
        <w:rPr>
          <w:rFonts w:cs="Liberation Sans" w:ascii="Tinos" w:hAnsi="Tinos" w:cstheme="majorBidi"/>
          <w:sz w:val="28"/>
          <w:szCs w:val="28"/>
        </w:rPr>
        <w:t xml:space="preserve"> органы исполнительной власти субъекта Российской Федерации вправе разработать Проект устойчивого развития исторической территории с определением мероприятий устойчивого развития. После утверждения Проект устойчивого развития исторической территории является обязательной исходной документацией для документов территориального планирования и принятия градостроительных решений.</w:t>
      </w:r>
    </w:p>
    <w:p>
      <w:pPr>
        <w:pStyle w:val="Normal"/>
        <w:ind w:firstLine="708"/>
        <w:jc w:val="both"/>
        <w:rPr>
          <w:rFonts w:ascii="Tinos" w:hAnsi="Tinos"/>
          <w:sz w:val="28"/>
          <w:szCs w:val="28"/>
        </w:rPr>
      </w:pPr>
      <w:r>
        <w:rPr>
          <w:rFonts w:cs="Liberation Sans" w:ascii="Tinos" w:hAnsi="Tinos" w:cstheme="majorBidi"/>
          <w:color w:val="020C22"/>
          <w:sz w:val="28"/>
          <w:szCs w:val="28"/>
        </w:rPr>
        <w:t>5. Р</w:t>
      </w:r>
      <w:r>
        <w:rPr>
          <w:rFonts w:cs="Liberation Sans" w:ascii="Tinos" w:hAnsi="Tinos" w:cstheme="majorBidi"/>
          <w:sz w:val="28"/>
          <w:szCs w:val="28"/>
        </w:rPr>
        <w:t>егиональный орган охраны вправе разработать Проект устойчивого развития достопримечательного места с определением мероприятий устойчивого развития. После утверждения Проект устойчивого развития достопримечательного места является обязательной исходной документацией для документов территориального планирования и принятия градостроительных решений.</w:t>
      </w:r>
    </w:p>
    <w:p>
      <w:pPr>
        <w:pStyle w:val="Normal"/>
        <w:ind w:firstLine="708"/>
        <w:jc w:val="both"/>
        <w:rPr>
          <w:rFonts w:ascii="Tinos" w:hAnsi="Tinos" w:cs="Liberation Sans" w:cstheme="majorBidi"/>
          <w:color w:val="020C22"/>
          <w:sz w:val="28"/>
          <w:szCs w:val="28"/>
        </w:rPr>
      </w:pPr>
      <w:r>
        <w:rPr>
          <w:rFonts w:cs="Liberation Sans" w:cstheme="majorBidi" w:ascii="Tinos" w:hAnsi="Tinos"/>
          <w:color w:val="020C22"/>
          <w:sz w:val="28"/>
          <w:szCs w:val="28"/>
        </w:rPr>
      </w:r>
    </w:p>
    <w:p>
      <w:pPr>
        <w:pStyle w:val="ListParagraph"/>
        <w:numPr>
          <w:ilvl w:val="0"/>
          <w:numId w:val="2"/>
        </w:numPr>
        <w:ind w:left="0" w:firstLine="708"/>
        <w:jc w:val="both"/>
        <w:rPr>
          <w:rFonts w:ascii="Tinos" w:hAnsi="Tinos"/>
          <w:sz w:val="28"/>
          <w:szCs w:val="28"/>
        </w:rPr>
      </w:pPr>
      <w:r>
        <w:rPr>
          <w:rFonts w:cs="Liberation Sans" w:ascii="Tinos" w:hAnsi="Tinos" w:cstheme="majorBidi"/>
          <w:color w:val="020C22"/>
          <w:sz w:val="28"/>
          <w:szCs w:val="28"/>
        </w:rPr>
        <w:t>В пункте 12 статьи 60 заменить слово «вправе» заменить на «обязан» и изложить в следующей редакции:</w:t>
      </w:r>
    </w:p>
    <w:p>
      <w:pPr>
        <w:pStyle w:val="Normal"/>
        <w:ind w:firstLine="708"/>
        <w:jc w:val="both"/>
        <w:rPr>
          <w:rFonts w:ascii="Tinos" w:hAnsi="Tinos"/>
          <w:sz w:val="28"/>
          <w:szCs w:val="28"/>
        </w:rPr>
      </w:pPr>
      <w:r>
        <w:rPr>
          <w:rFonts w:cs="Liberation Sans" w:ascii="Tinos" w:hAnsi="Tinos" w:cstheme="majorBidi"/>
          <w:color w:val="020C22"/>
          <w:sz w:val="28"/>
          <w:szCs w:val="28"/>
        </w:rPr>
        <w:t>Региональный орган охраны объектов культурного наследия</w:t>
      </w:r>
      <w:r>
        <w:rPr>
          <w:rFonts w:cs="Liberation Sans" w:ascii="Tinos" w:hAnsi="Tinos" w:cstheme="majorBidi"/>
          <w:color w:val="FF0000"/>
          <w:sz w:val="28"/>
          <w:szCs w:val="28"/>
        </w:rPr>
        <w:t xml:space="preserve"> </w:t>
      </w:r>
      <w:r>
        <w:rPr>
          <w:rFonts w:cs="Liberation Sans" w:ascii="Tinos" w:hAnsi="Tinos" w:cstheme="majorBidi"/>
          <w:sz w:val="28"/>
          <w:szCs w:val="28"/>
        </w:rPr>
        <w:t>обязан</w:t>
      </w:r>
      <w:r>
        <w:rPr>
          <w:rFonts w:cs="Liberation Sans" w:ascii="Tinos" w:hAnsi="Tinos" w:cstheme="majorBidi"/>
          <w:color w:val="020C22"/>
          <w:sz w:val="28"/>
          <w:szCs w:val="28"/>
        </w:rPr>
        <w:t xml:space="preserve"> разработать и утвердить требования к архитектурно-градостроительному облику исторического поселения, включающему типовые архитектурные решения объектов капитального строительства, в том числе объектов индивидуального жилищного строительства, для отдельных исторических поселений федерального или регионального значения, расположенных на территории соответствующего субъекта Российской Федерации. Региональный орган охраны объектов культурного наследия размещает информацию с требованиями к архитектурно градостроительному облику и типовые архитектурные решения объектов капитального строительства на своем официальном сайте в информационно-телекоммуникационной сети "Интернет" в течение десяти дней со дня их утверждения. Указанные типовые архитектурные решения должны быть доступны для ознакомления на таком сайте всем заинтересованным лицам без взимания платы.</w:t>
      </w:r>
    </w:p>
    <w:p>
      <w:pPr>
        <w:pStyle w:val="Normal"/>
        <w:jc w:val="both"/>
        <w:rPr>
          <w:rFonts w:ascii="Tinos" w:hAnsi="Tinos" w:cs="Liberation Sans" w:cstheme="majorBidi"/>
          <w:sz w:val="28"/>
          <w:szCs w:val="28"/>
        </w:rPr>
      </w:pPr>
      <w:r>
        <w:rPr>
          <w:rFonts w:cs="Liberation Sans" w:cstheme="majorBidi" w:ascii="Tinos" w:hAnsi="Tinos"/>
          <w:sz w:val="28"/>
          <w:szCs w:val="28"/>
        </w:rPr>
      </w:r>
    </w:p>
    <w:p>
      <w:pPr>
        <w:pStyle w:val="Normal"/>
        <w:ind w:firstLine="709"/>
        <w:jc w:val="both"/>
        <w:rPr>
          <w:rFonts w:ascii="Tinos" w:hAnsi="Tinos"/>
          <w:sz w:val="28"/>
          <w:szCs w:val="28"/>
        </w:rPr>
      </w:pPr>
      <w:r>
        <w:rPr>
          <w:rFonts w:cs="Liberation Sans" w:ascii="Tinos" w:hAnsi="Tinos" w:cstheme="majorBidi"/>
          <w:sz w:val="28"/>
          <w:szCs w:val="28"/>
        </w:rPr>
        <w:t>4) В пункте 3 статьи 50 заменить «жилищным законодательством на «гражданским законодательством» и изложить в следующей редакции:</w:t>
      </w:r>
    </w:p>
    <w:p>
      <w:pPr>
        <w:pStyle w:val="Normal"/>
        <w:ind w:firstLine="708"/>
        <w:jc w:val="both"/>
        <w:rPr>
          <w:rFonts w:ascii="Tinos" w:hAnsi="Tinos"/>
          <w:sz w:val="28"/>
          <w:szCs w:val="28"/>
        </w:rPr>
      </w:pPr>
      <w:r>
        <w:rPr>
          <w:rFonts w:cs="Liberation Sans" w:ascii="Tinos" w:hAnsi="Tinos" w:cstheme="majorBidi"/>
          <w:sz w:val="28"/>
          <w:szCs w:val="28"/>
        </w:rPr>
        <w:t>«Жилые помещения, являющиеся объектом культурного наследия либо частью объекта культурного наследия, могут быть отчуждены в порядке, установленном гражданским законодательством Российской Федерации, с учетом требований настоящего Федерального закона.»</w:t>
      </w:r>
    </w:p>
    <w:p>
      <w:pPr>
        <w:pStyle w:val="Normal"/>
        <w:jc w:val="both"/>
        <w:rPr>
          <w:rFonts w:ascii="Tinos" w:hAnsi="Tinos" w:cs="Liberation Sans" w:cstheme="majorBidi"/>
          <w:sz w:val="28"/>
          <w:szCs w:val="28"/>
        </w:rPr>
      </w:pPr>
      <w:r>
        <w:rPr>
          <w:rFonts w:cs="Liberation Sans" w:cstheme="majorBidi" w:ascii="Tinos" w:hAnsi="Tinos"/>
          <w:sz w:val="28"/>
          <w:szCs w:val="28"/>
        </w:rPr>
      </w:r>
    </w:p>
    <w:p>
      <w:pPr>
        <w:pStyle w:val="Normal"/>
        <w:ind w:firstLine="708"/>
        <w:jc w:val="both"/>
        <w:rPr>
          <w:rFonts w:ascii="Tinos" w:hAnsi="Tinos"/>
          <w:sz w:val="28"/>
          <w:szCs w:val="28"/>
        </w:rPr>
      </w:pPr>
      <w:r>
        <w:rPr>
          <w:rFonts w:cs="Liberation Sans" w:ascii="Tinos" w:hAnsi="Tinos" w:cstheme="majorBidi"/>
          <w:sz w:val="28"/>
          <w:szCs w:val="28"/>
        </w:rPr>
        <w:t>5) Статью 54 дополнить пунктом 1.1. и изложить в следующей редакции:</w:t>
      </w:r>
    </w:p>
    <w:p>
      <w:pPr>
        <w:pStyle w:val="Normal"/>
        <w:ind w:firstLine="708"/>
        <w:jc w:val="both"/>
        <w:rPr>
          <w:rFonts w:ascii="Tinos" w:hAnsi="Tinos"/>
          <w:sz w:val="28"/>
          <w:szCs w:val="28"/>
        </w:rPr>
      </w:pPr>
      <w:r>
        <w:rPr>
          <w:rFonts w:cs="Liberation Sans" w:ascii="Tinos" w:hAnsi="Tinos" w:cstheme="majorBidi"/>
          <w:sz w:val="28"/>
          <w:szCs w:val="28"/>
        </w:rPr>
        <w:t>«В случае, если правообладатель объекта культурного наследия включенного в реестр, выявленного объекта культурного наследия или земельного участка, на котором расположен объект культурного наследия или выявленный объект культурного наследия в течение срока своего владения или течение 3 лет после приобретения объекта культурного наследия включенного в реестр, выявленного объекта культурного наследия или земельного участка, на котором расположен объект культурного наследия, выявленный объект культурного не предпринял необходимых действий, направленных на его восстановление, объект может быть безвозмездно изъят по решению суда в виде применения санкции за совершение преступления или иного правонарушения (конфискации) в соответствии с законодательством Российской Федерации.»</w:t>
      </w:r>
    </w:p>
    <w:p>
      <w:pPr>
        <w:pStyle w:val="Normal"/>
        <w:jc w:val="both"/>
        <w:rPr>
          <w:rFonts w:ascii="Tinos" w:hAnsi="Tinos" w:cs="Liberation Sans" w:cstheme="majorBidi"/>
          <w:color w:val="C00000"/>
          <w:sz w:val="28"/>
          <w:szCs w:val="28"/>
        </w:rPr>
      </w:pPr>
      <w:r>
        <w:rPr>
          <w:rFonts w:cs="Liberation Sans" w:cstheme="majorBidi" w:ascii="Tinos" w:hAnsi="Tinos"/>
          <w:color w:val="C00000"/>
          <w:sz w:val="28"/>
          <w:szCs w:val="28"/>
        </w:rPr>
      </w:r>
    </w:p>
    <w:p>
      <w:pPr>
        <w:pStyle w:val="Normal"/>
        <w:ind w:firstLine="708"/>
        <w:jc w:val="both"/>
        <w:rPr>
          <w:rFonts w:ascii="Tinos" w:hAnsi="Tinos"/>
          <w:sz w:val="28"/>
          <w:szCs w:val="28"/>
        </w:rPr>
      </w:pPr>
      <w:r>
        <w:rPr>
          <w:rFonts w:cs="Liberation Sans" w:ascii="Tinos" w:hAnsi="Tinos" w:cstheme="majorBidi"/>
          <w:sz w:val="28"/>
          <w:szCs w:val="28"/>
        </w:rPr>
        <w:t>6) Статью 54 дополнить пунктом 5 и изложить в следующей редакции:</w:t>
      </w:r>
    </w:p>
    <w:p>
      <w:pPr>
        <w:pStyle w:val="Normal"/>
        <w:ind w:firstLine="708"/>
        <w:jc w:val="both"/>
        <w:rPr>
          <w:rFonts w:ascii="Tinos" w:hAnsi="Tinos"/>
          <w:sz w:val="28"/>
          <w:szCs w:val="28"/>
        </w:rPr>
      </w:pPr>
      <w:r>
        <w:rPr>
          <w:rFonts w:cs="Liberation Sans" w:ascii="Tinos" w:hAnsi="Tinos" w:cstheme="majorBidi"/>
          <w:sz w:val="28"/>
          <w:szCs w:val="28"/>
        </w:rPr>
        <w:t xml:space="preserve">«В случае, если объект культурного наследия, включенный в реестр, выявленный объект культурного наследия либо земельный участок, в пределах которого располагается объект археологического наследия </w:t>
      </w:r>
      <w:r>
        <w:rPr>
          <w:rFonts w:cs="Liberation Sans" w:ascii="Tinos" w:hAnsi="Tinos" w:cstheme="majorBidi"/>
          <w:sz w:val="28"/>
          <w:szCs w:val="28"/>
          <w:shd w:fill="FFFFFF" w:val="clear"/>
        </w:rPr>
        <w:t xml:space="preserve">не имеет собственника или собственник которого неизвестен либо от права собственности на который собственник отказался должен быть принят на учет органом, осуществляющим государственную регистрацию права собственности и в течение установленного законом срока переведен в муниципальную или региональную собственность </w:t>
      </w:r>
      <w:r>
        <w:rPr>
          <w:rFonts w:cs="Liberation Sans" w:ascii="Tinos" w:hAnsi="Tinos" w:cstheme="majorBidi"/>
          <w:sz w:val="28"/>
          <w:szCs w:val="28"/>
        </w:rPr>
        <w:t>в соответствии с законодательством Российской Федерации.»</w:t>
      </w:r>
    </w:p>
    <w:p>
      <w:pPr>
        <w:pStyle w:val="Normal"/>
        <w:jc w:val="both"/>
        <w:rPr>
          <w:rFonts w:ascii="Tinos" w:hAnsi="Tinos" w:cs="Liberation Sans" w:cstheme="majorBidi"/>
          <w:sz w:val="28"/>
          <w:szCs w:val="28"/>
        </w:rPr>
      </w:pPr>
      <w:r>
        <w:rPr>
          <w:rFonts w:cs="Liberation Sans" w:cstheme="majorBidi" w:ascii="Tinos" w:hAnsi="Tinos"/>
          <w:sz w:val="28"/>
          <w:szCs w:val="28"/>
        </w:rPr>
      </w:r>
    </w:p>
    <w:p>
      <w:pPr>
        <w:pStyle w:val="Normal"/>
        <w:spacing w:lineRule="auto" w:line="276"/>
        <w:ind w:left="708" w:hanging="0"/>
        <w:jc w:val="both"/>
        <w:rPr>
          <w:rFonts w:ascii="Tinos" w:hAnsi="Tinos"/>
          <w:sz w:val="28"/>
          <w:szCs w:val="28"/>
        </w:rPr>
      </w:pPr>
      <w:r>
        <w:rPr>
          <w:rFonts w:eastAsia="Times New Roman" w:cs="Liberation Sans" w:ascii="Tinos" w:hAnsi="Tinos" w:cstheme="majorBidi"/>
          <w:b/>
          <w:bCs/>
          <w:sz w:val="28"/>
          <w:szCs w:val="28"/>
          <w14:ligatures w14:val="none"/>
        </w:rPr>
        <w:t>Статья 2</w:t>
      </w:r>
    </w:p>
    <w:p>
      <w:pPr>
        <w:pStyle w:val="Normal"/>
        <w:spacing w:lineRule="auto" w:line="276"/>
        <w:ind w:firstLine="708"/>
        <w:jc w:val="both"/>
        <w:rPr>
          <w:rFonts w:ascii="Tinos" w:hAnsi="Tinos"/>
          <w:sz w:val="28"/>
          <w:szCs w:val="28"/>
        </w:rPr>
      </w:pPr>
      <w:r>
        <w:rPr>
          <w:rFonts w:cs="Liberation Sans" w:ascii="Tinos" w:hAnsi="Tinos" w:cstheme="majorBidi"/>
          <w:sz w:val="28"/>
          <w:szCs w:val="28"/>
        </w:rPr>
        <w:t>Внести в Федеральный закон "Об основах туристской деятельности в Российской Федерации" от 24.11.1996 N 132-ФЗ статью 13.1 и изложить в следующей редакции:</w:t>
      </w:r>
    </w:p>
    <w:p>
      <w:pPr>
        <w:pStyle w:val="Normal"/>
        <w:spacing w:lineRule="auto" w:line="276"/>
        <w:ind w:firstLine="708"/>
        <w:jc w:val="both"/>
        <w:rPr>
          <w:rFonts w:ascii="Tinos" w:hAnsi="Tinos" w:eastAsia="Times New Roman" w:cs="Liberation Sans" w:cstheme="majorBidi"/>
          <w:sz w:val="28"/>
          <w:szCs w:val="28"/>
          <w14:ligatures w14:val="none"/>
        </w:rPr>
      </w:pPr>
      <w:r>
        <w:rPr>
          <w:rFonts w:eastAsia="Times New Roman" w:cs="Liberation Sans" w:cstheme="majorBidi" w:ascii="Tinos" w:hAnsi="Tinos"/>
          <w:sz w:val="28"/>
          <w:szCs w:val="28"/>
          <w14:ligatures w14:val="none"/>
        </w:rPr>
      </w:r>
    </w:p>
    <w:p>
      <w:pPr>
        <w:pStyle w:val="Normal"/>
        <w:rPr>
          <w:rFonts w:ascii="Tinos" w:hAnsi="Tinos"/>
          <w:sz w:val="28"/>
          <w:szCs w:val="28"/>
        </w:rPr>
      </w:pPr>
      <w:bookmarkStart w:id="0" w:name="_Toc186293704"/>
      <w:r>
        <w:rPr>
          <w:rFonts w:cs="Liberation Sans" w:ascii="Tinos" w:hAnsi="Tinos" w:cstheme="majorBidi"/>
          <w:sz w:val="28"/>
          <w:szCs w:val="28"/>
        </w:rPr>
        <w:t>Статья 13.1. Туристские территории</w:t>
      </w:r>
      <w:bookmarkEnd w:id="0"/>
    </w:p>
    <w:p>
      <w:pPr>
        <w:pStyle w:val="ListParagraph"/>
        <w:numPr>
          <w:ilvl w:val="0"/>
          <w:numId w:val="1"/>
        </w:numPr>
        <w:spacing w:lineRule="auto" w:line="276"/>
        <w:ind w:left="0" w:firstLine="567"/>
        <w:jc w:val="both"/>
        <w:rPr>
          <w:rFonts w:ascii="Tinos" w:hAnsi="Tinos"/>
          <w:sz w:val="28"/>
          <w:szCs w:val="28"/>
        </w:rPr>
      </w:pPr>
      <w:r>
        <w:rPr>
          <w:rFonts w:cs="Liberation Sans" w:ascii="Tinos" w:hAnsi="Tinos" w:cstheme="majorBidi"/>
          <w:sz w:val="28"/>
          <w:szCs w:val="28"/>
        </w:rPr>
        <w:t>Законодательством Российской Федерации устанавливаются особенности государственного регулирования туризма на исторических территориях.</w:t>
      </w:r>
    </w:p>
    <w:p>
      <w:pPr>
        <w:pStyle w:val="ListParagraph"/>
        <w:numPr>
          <w:ilvl w:val="0"/>
          <w:numId w:val="1"/>
        </w:numPr>
        <w:spacing w:lineRule="auto" w:line="276"/>
        <w:ind w:left="0" w:firstLine="567"/>
        <w:jc w:val="both"/>
        <w:rPr>
          <w:rFonts w:ascii="Tinos" w:hAnsi="Tinos"/>
          <w:sz w:val="28"/>
          <w:szCs w:val="28"/>
        </w:rPr>
      </w:pPr>
      <w:r>
        <w:rPr>
          <w:rFonts w:cs="Liberation Sans" w:ascii="Tinos" w:hAnsi="Tinos" w:cstheme="majorBidi"/>
          <w:sz w:val="28"/>
          <w:szCs w:val="28"/>
        </w:rPr>
        <w:t>Т</w:t>
      </w:r>
      <w:r>
        <w:rPr>
          <w:rFonts w:cs="Times New Roman" w:ascii="Tinos" w:hAnsi="Tinos"/>
          <w:sz w:val="28"/>
          <w:szCs w:val="28"/>
        </w:rPr>
        <w:t>ерритории, в пределах которых полностью или частично сохранились объекты культурного наследия, выявленные объекты культурного наследия, ценные градоформирующие объекты, ансамбли, историческое поселение или достопримечательные места, исторически сложившиеся или типичные для определенного исторического периода элементы планировочной структуры, природного, природно-антропогенного, городского ландшафта, масштаб, структура и форма застройки, комплекс исторических зданий, элементы и характер благоустройства территории, иные характеристики городской среды и особенности облика города, представляющие собой историческую, градостроительную, архитектурную и художественную ценность и обладающая культурной и социальной значимостью</w:t>
      </w:r>
      <w:r>
        <w:rPr>
          <w:rFonts w:cs="Liberation Sans" w:ascii="Tinos" w:hAnsi="Tinos" w:cstheme="majorBidi"/>
          <w:sz w:val="28"/>
          <w:szCs w:val="28"/>
        </w:rPr>
        <w:t xml:space="preserve"> подлежат включению в развитие туризма в приоритетном порядке с учетом имеющихся ограничений в соответствии с законодательством Российской Федерации</w:t>
      </w:r>
    </w:p>
    <w:p>
      <w:pPr>
        <w:pStyle w:val="ListParagraph"/>
        <w:numPr>
          <w:ilvl w:val="0"/>
          <w:numId w:val="1"/>
        </w:numPr>
        <w:spacing w:lineRule="auto" w:line="276"/>
        <w:ind w:left="0" w:firstLine="567"/>
        <w:jc w:val="both"/>
        <w:rPr>
          <w:rFonts w:ascii="Tinos" w:hAnsi="Tinos"/>
          <w:sz w:val="28"/>
          <w:szCs w:val="28"/>
        </w:rPr>
      </w:pPr>
      <w:r>
        <w:rPr>
          <w:rFonts w:cs="Liberation Sans" w:ascii="Tinos" w:hAnsi="Tinos" w:cstheme="majorBidi"/>
          <w:sz w:val="28"/>
          <w:szCs w:val="28"/>
        </w:rPr>
        <w:t>В целях формирования благоприятных условий для реализации приоритетных укрупненных инвестиционных проектов федерального значения, направленных на ускоренное развитие туризма в Российской Федерации, решением Правительства Российской Федерации на исторических территориях субъектов Российской Федерации создаются территории стратегического развития туризма, на которых устанавливается особый правовой режим по созданию (строительству) либо реконструкции и (или) модернизации объектов недвижимого имущества и (или) комплекса объектов движимого и недвижимого имущества, осуществления предпринимательской и иной деятельности.</w:t>
      </w:r>
    </w:p>
    <w:p>
      <w:pPr>
        <w:pStyle w:val="ListParagraph"/>
        <w:numPr>
          <w:ilvl w:val="0"/>
          <w:numId w:val="1"/>
        </w:numPr>
        <w:spacing w:lineRule="auto" w:line="276"/>
        <w:ind w:left="0" w:firstLine="567"/>
        <w:jc w:val="both"/>
        <w:rPr>
          <w:rFonts w:ascii="Tinos" w:hAnsi="Tinos"/>
          <w:sz w:val="28"/>
          <w:szCs w:val="28"/>
        </w:rPr>
      </w:pPr>
      <w:r>
        <w:rPr>
          <w:rFonts w:cs="Liberation Sans" w:ascii="Tinos" w:hAnsi="Tinos" w:cstheme="majorBidi"/>
          <w:sz w:val="28"/>
          <w:szCs w:val="28"/>
        </w:rPr>
        <w:t>Правовой режим территорий стратегического развития туризма на исторических территориях, ограничения и порядок осуществления деятельности на таких территориях устанавливается действующим законодательством Российской Федерации.</w:t>
      </w:r>
    </w:p>
    <w:p>
      <w:pPr>
        <w:pStyle w:val="ListParagraph"/>
        <w:numPr>
          <w:ilvl w:val="0"/>
          <w:numId w:val="1"/>
        </w:numPr>
        <w:spacing w:lineRule="auto" w:line="276"/>
        <w:ind w:left="0" w:firstLine="567"/>
        <w:jc w:val="both"/>
        <w:rPr>
          <w:rFonts w:ascii="Tinos" w:hAnsi="Tinos"/>
          <w:sz w:val="28"/>
          <w:szCs w:val="28"/>
        </w:rPr>
      </w:pPr>
      <w:r>
        <w:rPr>
          <w:rFonts w:cs="Liberation Sans" w:ascii="Tinos" w:hAnsi="Tinos" w:cstheme="majorBidi"/>
          <w:sz w:val="28"/>
          <w:szCs w:val="28"/>
        </w:rPr>
        <w:t>Порядок формирования, границы территории/территорий территории стратегического развития туризма, ограничения, связанные со статусом территории или расположенных на ней объектов, закрепляются в проектной документации в соответствии с законодательством Российской Федерации.</w:t>
      </w:r>
    </w:p>
    <w:p>
      <w:pPr>
        <w:pStyle w:val="Normal"/>
        <w:spacing w:lineRule="auto" w:line="276"/>
        <w:ind w:firstLine="709"/>
        <w:jc w:val="both"/>
        <w:rPr>
          <w:rFonts w:ascii="Tinos" w:hAnsi="Tinos"/>
          <w:sz w:val="28"/>
          <w:szCs w:val="28"/>
        </w:rPr>
      </w:pPr>
      <w:r>
        <w:rPr>
          <w:rFonts w:ascii="Tinos" w:hAnsi="Tinos"/>
          <w:sz w:val="28"/>
          <w:szCs w:val="28"/>
        </w:rPr>
      </w:r>
    </w:p>
    <w:sectPr>
      <w:footerReference w:type="even" r:id="rId2"/>
      <w:footerReference w:type="default" r:id="rId3"/>
      <w:footerReference w:type="first" r:id="rId4"/>
      <w:type w:val="nextPage"/>
      <w:pgSz w:w="11906" w:h="16838"/>
      <w:pgMar w:left="1701" w:right="850" w:gutter="0" w:header="0" w:top="1134" w:footer="708"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Calibri Light">
    <w:charset w:val="01"/>
    <w:family w:val="roman"/>
    <w:pitch w:val="default"/>
  </w:font>
  <w:font w:name="PT Astra Serif">
    <w:charset w:val="01"/>
    <w:family w:val="roman"/>
    <w:pitch w:val="default"/>
  </w:font>
  <w:font w:name="Times New Roman">
    <w:charset w:val="01"/>
    <w:family w:val="roman"/>
    <w:pitch w:val="default"/>
  </w:font>
  <w:font w:name="Tinos">
    <w:charset w:val="01"/>
    <w:family w:val="auto"/>
    <w:pitch w:val="variable"/>
  </w:font>
  <w:font w:name="Liberation Sans">
    <w:altName w:val="Arial"/>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1"/>
      <w:rPr>
        <w:rStyle w:val="Pagenumber"/>
      </w:rPr>
    </w:pPr>
    <w:r>
      <w:rPr>
        <w:rStyle w:val="Pagenumber"/>
      </w:rPr>
      <w:fldChar w:fldCharType="begin"/>
    </w:r>
    <w:r>
      <w:rPr>
        <w:rStyle w:val="Pagenumber"/>
      </w:rPr>
      <w:instrText> PAGE </w:instrText>
    </w:r>
    <w:r>
      <w:rPr>
        <w:rStyle w:val="Pagenumber"/>
      </w:rPr>
      <w:fldChar w:fldCharType="separate"/>
    </w:r>
    <w:r>
      <w:rPr>
        <w:rStyle w:val="Pagenumber"/>
      </w:rPr>
      <w:t>0</w:t>
    </w:r>
    <w:r>
      <w:rPr>
        <w:rStyle w:val="Pagenumber"/>
      </w:rPr>
      <w:fldChar w:fldCharType="end"/>
    </w:r>
  </w:p>
  <w:p>
    <w:pPr>
      <w:pStyle w:val="Style21"/>
      <w:ind w:right="360" w:hanging="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1"/>
      <w:rPr>
        <w:rStyle w:val="Pagenumber"/>
      </w:rPr>
    </w:pPr>
    <w:r>
      <w:rPr>
        <w:rStyle w:val="Pagenumber"/>
      </w:rPr>
      <w:fldChar w:fldCharType="begin"/>
    </w:r>
    <w:r>
      <w:rPr>
        <w:rStyle w:val="Pagenumber"/>
      </w:rPr>
      <w:instrText> PAGE </w:instrText>
    </w:r>
    <w:r>
      <w:rPr>
        <w:rStyle w:val="Pagenumber"/>
      </w:rPr>
      <w:fldChar w:fldCharType="separate"/>
    </w:r>
    <w:r>
      <w:rPr>
        <w:rStyle w:val="Pagenumber"/>
      </w:rPr>
      <w:t>2</w:t>
    </w:r>
    <w:r>
      <w:rPr>
        <w:rStyle w:val="Pagenumber"/>
      </w:rPr>
      <w:fldChar w:fldCharType="end"/>
    </w:r>
  </w:p>
  <w:p>
    <w:pPr>
      <w:pStyle w:val="Style21"/>
      <w:ind w:right="360" w:hanging="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1"/>
      <w:rPr>
        <w:rStyle w:val="Pagenumber"/>
      </w:rPr>
    </w:pPr>
    <w:r>
      <w:rPr>
        <w:rStyle w:val="Pagenumber"/>
      </w:rPr>
      <w:fldChar w:fldCharType="begin"/>
    </w:r>
    <w:r>
      <w:rPr>
        <w:rStyle w:val="Pagenumber"/>
      </w:rPr>
      <w:instrText> PAGE </w:instrText>
    </w:r>
    <w:r>
      <w:rPr>
        <w:rStyle w:val="Pagenumber"/>
      </w:rPr>
      <w:fldChar w:fldCharType="separate"/>
    </w:r>
    <w:r>
      <w:rPr>
        <w:rStyle w:val="Pagenumber"/>
      </w:rPr>
      <w:t>2</w:t>
    </w:r>
    <w:r>
      <w:rPr>
        <w:rStyle w:val="Pagenumber"/>
      </w:rPr>
      <w:fldChar w:fldCharType="end"/>
    </w:r>
  </w:p>
  <w:p>
    <w:pPr>
      <w:pStyle w:val="Style21"/>
      <w:ind w:right="360" w:hanging="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129" w:hanging="420"/>
      </w:pPr>
      <w:rPr>
        <w:rFonts w:ascii="Liberation Sans" w:hAnsi="Liberation Sans" w:eastAsia="等线" w:cs="Liberation Sans" w:asciiTheme="majorBidi" w:cstheme="majorBidi" w:eastAsiaTheme="minorEastAsia" w:hAnsiTheme="majorBidi"/>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lvl w:ilvl="0">
      <w:start w:val="2"/>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等线" w:cs="Liberation Sans" w:asciiTheme="minorHAnsi" w:cstheme="minorBidi" w:eastAsiaTheme="minorEastAsia" w:hAnsiTheme="minorHAnsi"/>
        <w:sz w:val="24"/>
        <w:szCs w:val="24"/>
        <w:lang w:val="ru-RU" w:eastAsia="zh-CN" w:bidi="ar-SA"/>
        <w14:ligatures w14:val="standardContextual"/>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before="0" w:after="0"/>
      <w:jc w:val="left"/>
    </w:pPr>
    <w:rPr>
      <w:rFonts w:ascii="Calibri" w:hAnsi="Calibri" w:eastAsia="等线" w:cs="Liberation Sans" w:asciiTheme="minorHAnsi" w:cstheme="minorBidi" w:eastAsiaTheme="minorEastAsia" w:hAnsiTheme="minorHAnsi"/>
      <w:color w:val="auto"/>
      <w:kern w:val="0"/>
      <w:sz w:val="24"/>
      <w:szCs w:val="24"/>
      <w:lang w:val="ru-RU" w:eastAsia="zh-CN" w:bidi="ar-SA"/>
      <w14:ligatures w14:val="standardContextual"/>
    </w:rPr>
  </w:style>
  <w:style w:type="paragraph" w:styleId="1">
    <w:name w:val="Heading 1"/>
    <w:basedOn w:val="Normal"/>
    <w:next w:val="Normal"/>
    <w:link w:val="10"/>
    <w:uiPriority w:val="9"/>
    <w:qFormat/>
    <w:pPr>
      <w:keepNext w:val="true"/>
      <w:keepLines/>
      <w:spacing w:lineRule="auto" w:line="276" w:before="360" w:after="80"/>
      <w:outlineLvl w:val="0"/>
    </w:pPr>
    <w:rPr>
      <w:rFonts w:ascii="Calibri Light" w:hAnsi="Calibri Light" w:eastAsia="等线 Light" w:cs="Liberation Sans" w:asciiTheme="majorHAnsi" w:cstheme="majorBidi" w:eastAsiaTheme="majorEastAsia" w:hAnsiTheme="majorHAnsi"/>
      <w:color w:val="2F5496" w:themeColor="accent1" w:themeShade="bf"/>
      <w:sz w:val="40"/>
      <w:szCs w:val="40"/>
      <w:lang w:eastAsia="en-US"/>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uiPriority w:val="9"/>
    <w:qFormat/>
    <w:rPr>
      <w:rFonts w:ascii="Calibri Light" w:hAnsi="Calibri Light" w:eastAsia="等线 Light" w:cs="Liberation Sans" w:asciiTheme="majorHAnsi" w:cstheme="majorBidi" w:eastAsiaTheme="majorEastAsia" w:hAnsiTheme="majorHAnsi"/>
      <w:color w:val="2F5496" w:themeColor="accent1" w:themeShade="bf"/>
      <w:sz w:val="40"/>
      <w:szCs w:val="40"/>
      <w:lang w:eastAsia="en-US"/>
    </w:rPr>
  </w:style>
  <w:style w:type="character" w:styleId="Ed" w:customStyle="1">
    <w:name w:val="ed"/>
    <w:basedOn w:val="DefaultParagraphFont"/>
    <w:qFormat/>
    <w:rPr/>
  </w:style>
  <w:style w:type="character" w:styleId="Mark" w:customStyle="1">
    <w:name w:val="mark"/>
    <w:basedOn w:val="DefaultParagraphFont"/>
    <w:qFormat/>
    <w:rPr/>
  </w:style>
  <w:style w:type="character" w:styleId="Appleconvertedspace" w:customStyle="1">
    <w:name w:val="apple-converted-space"/>
    <w:basedOn w:val="DefaultParagraphFont"/>
    <w:qFormat/>
    <w:rPr/>
  </w:style>
  <w:style w:type="character" w:styleId="Style13">
    <w:name w:val="Интернет-ссылка"/>
    <w:basedOn w:val="DefaultParagraphFont"/>
    <w:uiPriority w:val="99"/>
    <w:semiHidden/>
    <w:unhideWhenUsed/>
    <w:rPr>
      <w:color w:val="0000FF"/>
      <w:u w:val="single"/>
    </w:rPr>
  </w:style>
  <w:style w:type="character" w:styleId="Bookmark" w:customStyle="1">
    <w:name w:val="bookmark"/>
    <w:basedOn w:val="DefaultParagraphFont"/>
    <w:qFormat/>
    <w:rPr/>
  </w:style>
  <w:style w:type="character" w:styleId="Style14" w:customStyle="1">
    <w:name w:val="Нижний колонтитул Знак"/>
    <w:basedOn w:val="DefaultParagraphFont"/>
    <w:link w:val="a6"/>
    <w:uiPriority w:val="99"/>
    <w:qFormat/>
    <w:rPr/>
  </w:style>
  <w:style w:type="character" w:styleId="Pagenumber">
    <w:name w:val="page number"/>
    <w:basedOn w:val="DefaultParagraphFont"/>
    <w:uiPriority w:val="99"/>
    <w:semiHidden/>
    <w:unhideWhenUsed/>
    <w:qFormat/>
    <w:rPr/>
  </w:style>
  <w:style w:type="paragraph" w:styleId="Style15">
    <w:name w:val="Заголовок"/>
    <w:basedOn w:val="Normal"/>
    <w:next w:val="Style16"/>
    <w:qFormat/>
    <w:pPr>
      <w:keepNext w:val="true"/>
      <w:spacing w:before="240" w:after="120"/>
    </w:pPr>
    <w:rPr>
      <w:rFonts w:ascii="PT Astra Serif" w:hAnsi="PT Astra Serif" w:eastAsia="Tahoma" w:cs="Noto Sans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ascii="PT Astra Serif" w:hAnsi="PT Astra Serif" w:cs="Noto Sans Devanagari"/>
    </w:rPr>
  </w:style>
  <w:style w:type="paragraph" w:styleId="Style18">
    <w:name w:val="Caption"/>
    <w:basedOn w:val="Normal"/>
    <w:qFormat/>
    <w:pPr>
      <w:suppressLineNumbers/>
      <w:spacing w:before="120" w:after="120"/>
    </w:pPr>
    <w:rPr>
      <w:rFonts w:ascii="PT Astra Serif" w:hAnsi="PT Astra Serif" w:cs="Noto Sans Devanagari"/>
      <w:i/>
      <w:iCs/>
      <w:sz w:val="24"/>
      <w:szCs w:val="24"/>
    </w:rPr>
  </w:style>
  <w:style w:type="paragraph" w:styleId="Style19">
    <w:name w:val="Указатель"/>
    <w:basedOn w:val="Normal"/>
    <w:qFormat/>
    <w:pPr>
      <w:suppressLineNumbers/>
    </w:pPr>
    <w:rPr>
      <w:rFonts w:ascii="PT Astra Serif" w:hAnsi="PT Astra Serif" w:cs="Noto Sans Devanagari"/>
      <w:lang w:val="zxx" w:eastAsia="zxx" w:bidi="zxx"/>
    </w:rPr>
  </w:style>
  <w:style w:type="paragraph" w:styleId="ListParagraph">
    <w:name w:val="List Paragraph"/>
    <w:basedOn w:val="Normal"/>
    <w:uiPriority w:val="34"/>
    <w:qFormat/>
    <w:pPr>
      <w:spacing w:before="0" w:after="0"/>
      <w:ind w:left="720" w:hanging="0"/>
      <w:contextualSpacing/>
    </w:pPr>
    <w:rPr/>
  </w:style>
  <w:style w:type="paragraph" w:styleId="NormalWeb">
    <w:name w:val="Normal (Web)"/>
    <w:basedOn w:val="Normal"/>
    <w:uiPriority w:val="99"/>
    <w:unhideWhenUsed/>
    <w:qFormat/>
    <w:pPr>
      <w:spacing w:beforeAutospacing="1" w:afterAutospacing="1"/>
    </w:pPr>
    <w:rPr>
      <w:rFonts w:ascii="Times New Roman" w:hAnsi="Times New Roman" w:eastAsia="Times New Roman" w:cs="Times New Roman"/>
      <w14:ligatures w14:val="none"/>
    </w:rPr>
  </w:style>
  <w:style w:type="paragraph" w:styleId="Style20">
    <w:name w:val="Колонтитул"/>
    <w:basedOn w:val="Normal"/>
    <w:qFormat/>
    <w:pPr/>
    <w:rPr/>
  </w:style>
  <w:style w:type="paragraph" w:styleId="Style21">
    <w:name w:val="Footer"/>
    <w:basedOn w:val="Normal"/>
    <w:link w:val="a7"/>
    <w:uiPriority w:val="99"/>
    <w:unhideWhenUsed/>
    <w:pPr>
      <w:tabs>
        <w:tab w:val="clear" w:pos="708"/>
        <w:tab w:val="center" w:pos="4677" w:leader="none"/>
        <w:tab w:val="right" w:pos="9355" w:leader="none"/>
      </w:tabs>
    </w:pPr>
    <w:rPr/>
  </w:style>
  <w:style w:type="paragraph" w:styleId="ConsPlusNormal" w:customStyle="1">
    <w:name w:val="ConsPlusNormal"/>
    <w:qFormat/>
    <w:pPr>
      <w:widowControl w:val="false"/>
      <w:bidi w:val="0"/>
      <w:spacing w:before="0" w:after="0"/>
      <w:jc w:val="left"/>
    </w:pPr>
    <w:rPr>
      <w:rFonts w:ascii="Calibri" w:hAnsi="Calibri" w:cs="Calibri" w:eastAsia="等线"/>
      <w:color w:val="auto"/>
      <w:kern w:val="0"/>
      <w:sz w:val="22"/>
      <w:szCs w:val="22"/>
      <w:lang w:eastAsia="ru-RU" w:val="ru-RU" w:bidi="ar-SA"/>
      <w14:ligatures w14:val="none"/>
    </w:rPr>
  </w:style>
  <w:style w:type="numbering" w:styleId="NoList" w:default="1">
    <w:name w:val="No List"/>
    <w:uiPriority w:val="99"/>
    <w:semiHidden/>
    <w:unhideWhenUsed/>
    <w:qFormat/>
  </w:style>
  <w:style w:type="table" w:default="1" w:styleId="a1">
    <w:name w:val="Normal Table"/>
    <w:uiPriority w:val="99"/>
    <w:semiHidden/>
    <w:unhideWhenUsed/>
    <w:tblPr>
      <w:tblCellMar>
        <w:left w:w="108" w:type="dxa"/>
        <w:top w:w="0" w:type="dxa"/>
        <w:right w:w="108"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Liberation Sans"/>
        <a:cs typeface="Liberation Sans"/>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Liberation Sans"/>
        <a:cs typeface="Liberation Sans"/>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13</TotalTime>
  <Application>LibreOffice/7.2.7.2$Linux_X86_64 LibreOffice_project/20$Build-2</Application>
  <AppVersion>15.0000</AppVersion>
  <Pages>5</Pages>
  <Words>1131</Words>
  <Characters>8921</Characters>
  <CharactersWithSpaces>10011</CharactersWithSpaces>
  <Paragraphs>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2026-02-23T17:14:00Z</dcterms:created>
  <dc:creator>Microsoft Office User</dc:creator>
  <dc:description/>
  <dc:language>ru-RU</dc:language>
  <cp:lastModifiedBy/>
  <cp:lastPrinted>2026-02-23T16:45:00Z</cp:lastPrinted>
  <dcterms:modified xsi:type="dcterms:W3CDTF">2026-03-16T15:40:56Z</dcterms:modified>
  <cp:revision>5</cp:revision>
  <dc:subject/>
  <dc:title/>
</cp:coreProperties>
</file>